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5D45D" w14:textId="26E1B0BA" w:rsidR="00C468E8" w:rsidRPr="007708B9" w:rsidRDefault="00680491" w:rsidP="00B46C1C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r w:rsidRPr="00613154">
        <w:rPr>
          <w:rFonts w:ascii="Open Sans" w:hAnsi="Open Sans" w:cs="Open Sans"/>
          <w:color w:val="000000" w:themeColor="text1"/>
          <w:sz w:val="22"/>
          <w:szCs w:val="22"/>
        </w:rPr>
        <w:t xml:space="preserve">Załącznik nr </w:t>
      </w:r>
      <w:r w:rsidR="00613154" w:rsidRPr="00613154">
        <w:rPr>
          <w:rFonts w:ascii="Open Sans" w:hAnsi="Open Sans" w:cs="Open Sans"/>
          <w:color w:val="000000" w:themeColor="text1"/>
          <w:sz w:val="22"/>
          <w:szCs w:val="22"/>
        </w:rPr>
        <w:t>5</w:t>
      </w:r>
      <w:r w:rsidR="007874E3" w:rsidRPr="0061315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52160E" w:rsidRPr="00613154">
        <w:rPr>
          <w:rFonts w:ascii="Open Sans" w:hAnsi="Open Sans" w:cs="Open Sans"/>
          <w:color w:val="000000" w:themeColor="text1"/>
          <w:sz w:val="22"/>
          <w:szCs w:val="22"/>
        </w:rPr>
        <w:t>do Regulaminu</w:t>
      </w:r>
      <w:r w:rsidR="009C6990">
        <w:rPr>
          <w:rFonts w:ascii="Open Sans" w:hAnsi="Open Sans" w:cs="Open Sans"/>
          <w:color w:val="000000" w:themeColor="text1"/>
          <w:sz w:val="22"/>
          <w:szCs w:val="22"/>
        </w:rPr>
        <w:t xml:space="preserve"> wyboru projektów</w:t>
      </w:r>
    </w:p>
    <w:p w14:paraId="31DD7676" w14:textId="77777777" w:rsidR="00DA0BDF" w:rsidRPr="004B0E2A" w:rsidRDefault="00F94850" w:rsidP="003C02BB">
      <w:pPr>
        <w:pStyle w:val="Akapitzlist"/>
        <w:spacing w:before="600" w:after="240" w:line="360" w:lineRule="auto"/>
        <w:ind w:left="0"/>
        <w:contextualSpacing w:val="0"/>
        <w:jc w:val="both"/>
        <w:rPr>
          <w:rFonts w:ascii="Open Sans" w:hAnsi="Open Sans" w:cs="Open Sans"/>
          <w:b/>
          <w:sz w:val="22"/>
          <w:szCs w:val="22"/>
        </w:rPr>
      </w:pPr>
      <w:r w:rsidRPr="004B0E2A">
        <w:rPr>
          <w:rFonts w:ascii="Open Sans" w:hAnsi="Open Sans" w:cs="Open Sans"/>
          <w:b/>
          <w:sz w:val="22"/>
          <w:szCs w:val="22"/>
        </w:rPr>
        <w:t>K</w:t>
      </w:r>
      <w:r w:rsidR="00E67FE4" w:rsidRPr="004B0E2A">
        <w:rPr>
          <w:rFonts w:ascii="Open Sans" w:hAnsi="Open Sans" w:cs="Open Sans"/>
          <w:b/>
          <w:sz w:val="22"/>
          <w:szCs w:val="22"/>
        </w:rPr>
        <w:t>atalog wydatków kwalifikowalnych</w:t>
      </w:r>
    </w:p>
    <w:p w14:paraId="6A199147" w14:textId="353DB538" w:rsidR="00190827" w:rsidRPr="004B0E2A" w:rsidRDefault="00190827" w:rsidP="003C02BB">
      <w:pPr>
        <w:pStyle w:val="Akapitzlist"/>
        <w:numPr>
          <w:ilvl w:val="0"/>
          <w:numId w:val="34"/>
        </w:numPr>
        <w:spacing w:before="120" w:after="120" w:line="360" w:lineRule="auto"/>
        <w:jc w:val="both"/>
        <w:rPr>
          <w:rFonts w:ascii="Open Sans" w:hAnsi="Open Sans" w:cs="Open Sans"/>
          <w:b/>
          <w:sz w:val="22"/>
          <w:szCs w:val="22"/>
        </w:rPr>
      </w:pPr>
      <w:r w:rsidRPr="004B0E2A">
        <w:rPr>
          <w:rFonts w:ascii="Open Sans" w:hAnsi="Open Sans" w:cs="Open Sans"/>
          <w:bCs/>
          <w:sz w:val="22"/>
          <w:szCs w:val="22"/>
        </w:rPr>
        <w:t>Wydatki muszą spełniać wymogi określone w</w:t>
      </w:r>
      <w:r w:rsidR="000D0DDE">
        <w:rPr>
          <w:rFonts w:ascii="Open Sans" w:hAnsi="Open Sans" w:cs="Open Sans"/>
          <w:bCs/>
          <w:sz w:val="22"/>
          <w:szCs w:val="22"/>
        </w:rPr>
        <w:t xml:space="preserve"> </w:t>
      </w:r>
      <w:r w:rsidRPr="004B0E2A">
        <w:rPr>
          <w:rFonts w:ascii="Open Sans" w:hAnsi="Open Sans" w:cs="Open Sans"/>
          <w:b/>
          <w:sz w:val="22"/>
          <w:szCs w:val="22"/>
        </w:rPr>
        <w:t> </w:t>
      </w:r>
      <w:hyperlink r:id="rId8" w:history="1">
        <w:r w:rsidRPr="004B0E2A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wydatków na lata 2021-2027</w:t>
        </w:r>
        <w:r w:rsidRPr="004B0E2A">
          <w:rPr>
            <w:rStyle w:val="Hipercze"/>
            <w:rFonts w:ascii="Open Sans" w:hAnsi="Open Sans" w:cs="Open Sans"/>
            <w:b/>
            <w:sz w:val="22"/>
            <w:szCs w:val="22"/>
          </w:rPr>
          <w:t>.</w:t>
        </w:r>
      </w:hyperlink>
    </w:p>
    <w:p w14:paraId="5189B04C" w14:textId="01E0072F" w:rsidR="00190827" w:rsidRPr="004B0E2A" w:rsidRDefault="00190827" w:rsidP="003C02BB">
      <w:pPr>
        <w:pStyle w:val="Default"/>
        <w:numPr>
          <w:ilvl w:val="0"/>
          <w:numId w:val="34"/>
        </w:numPr>
        <w:spacing w:before="120" w:after="120" w:line="360" w:lineRule="auto"/>
        <w:contextualSpacing/>
        <w:jc w:val="both"/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</w:pPr>
      <w:r w:rsidRPr="004B0E2A"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t xml:space="preserve">Za kwalifikowalne mogą zostać uznane wydatki poniesione na realizację </w:t>
      </w:r>
      <w:r w:rsidRPr="004B0E2A">
        <w:rPr>
          <w:rFonts w:ascii="Open Sans" w:hAnsi="Open Sans" w:cs="Open Sans"/>
          <w:sz w:val="22"/>
          <w:szCs w:val="22"/>
        </w:rPr>
        <w:t>samodzielnych projektów ukierunkowanych na poprawę wiedzy i świadomości społeczeństwa na temat celów i zasad ochrony przyrody oraz wpływu zanieczyszczeń na stan środowiska i zdrowie ludzi. Osiągnięciu tego celu będzie służyło wykorzystanie różnorodnych form i środków przekazu oraz nowoczesnych narzędzi informacyjno-komunikacyjnych i materiałów edukacyjnych.</w:t>
      </w:r>
    </w:p>
    <w:p w14:paraId="2A3D3445" w14:textId="7EA346A0" w:rsidR="00190827" w:rsidRPr="004B0E2A" w:rsidRDefault="00190827" w:rsidP="003C02BB">
      <w:pPr>
        <w:pStyle w:val="Default"/>
        <w:numPr>
          <w:ilvl w:val="0"/>
          <w:numId w:val="34"/>
        </w:num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Podatek od towarów i usług (VAT) może stanowić koszt kwalifikowalny projektu. Zasady jego kwalifikowania opisano w </w:t>
      </w:r>
      <w:hyperlink r:id="rId9" w:history="1">
        <w:r w:rsidRPr="004B0E2A">
          <w:rPr>
            <w:rStyle w:val="Hipercze"/>
            <w:rFonts w:ascii="Open Sans" w:hAnsi="Open Sans" w:cs="Open Sans"/>
            <w:sz w:val="22"/>
            <w:szCs w:val="22"/>
          </w:rPr>
          <w:t xml:space="preserve">Wytycznych dotyczących kwalifikowalności wydatków na lata 2021-2027, </w:t>
        </w:r>
      </w:hyperlink>
      <w:r w:rsidRPr="004B0E2A">
        <w:rPr>
          <w:rFonts w:ascii="Open Sans" w:hAnsi="Open Sans" w:cs="Open Sans"/>
          <w:sz w:val="22"/>
          <w:szCs w:val="22"/>
        </w:rPr>
        <w:t>w Podrozdziale 3.5. Podatek od towarów i usług (VAT).</w:t>
      </w:r>
    </w:p>
    <w:p w14:paraId="090AFAAF" w14:textId="33A96E5D" w:rsidR="00190827" w:rsidRPr="004B0E2A" w:rsidRDefault="00190827" w:rsidP="003C02BB">
      <w:pPr>
        <w:pStyle w:val="Default"/>
        <w:numPr>
          <w:ilvl w:val="0"/>
          <w:numId w:val="34"/>
        </w:num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Kwalifikowalne będą następujące kategorie kosztów:</w:t>
      </w:r>
    </w:p>
    <w:p w14:paraId="053FC739" w14:textId="3390B5B7" w:rsidR="00190827" w:rsidRPr="004B0E2A" w:rsidRDefault="00652B5A" w:rsidP="003C02BB">
      <w:pPr>
        <w:pStyle w:val="Default"/>
        <w:numPr>
          <w:ilvl w:val="0"/>
          <w:numId w:val="35"/>
        </w:num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K</w:t>
      </w:r>
      <w:r w:rsidR="00190827" w:rsidRPr="004B0E2A">
        <w:rPr>
          <w:rFonts w:ascii="Open Sans" w:hAnsi="Open Sans" w:cs="Open Sans"/>
          <w:sz w:val="22"/>
          <w:szCs w:val="22"/>
        </w:rPr>
        <w:t>oszty bezpośrednie:</w:t>
      </w:r>
    </w:p>
    <w:p w14:paraId="449C3D2A" w14:textId="6335F37E" w:rsidR="00190827" w:rsidRPr="004B0E2A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wartości niematerialne i prawne: koszty nabycia i/lub odpłatnego korzystania z wartości niematerialnych i prawnych, oprogramowanie i licencje (bez urządzeń do ich obsługi);</w:t>
      </w:r>
    </w:p>
    <w:p w14:paraId="38E3451B" w14:textId="77777777" w:rsidR="00190827" w:rsidRPr="004B0E2A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usługi zewnętrzne, w tym np.:</w:t>
      </w:r>
    </w:p>
    <w:p w14:paraId="01DEF647" w14:textId="77777777" w:rsidR="00190827" w:rsidRPr="004B0E2A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koszty związane z organizacją warsztatów, spotkań itp.; </w:t>
      </w:r>
    </w:p>
    <w:p w14:paraId="619AB09F" w14:textId="77777777" w:rsidR="00190827" w:rsidRPr="004B0E2A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usługi informatyczne np. hosting, migracja danych, kolokacja serwerów; </w:t>
      </w:r>
    </w:p>
    <w:p w14:paraId="0676B1C3" w14:textId="77777777" w:rsidR="00190827" w:rsidRPr="004B0E2A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usługi/działania w zakresie informacji, promocji, marketingu; </w:t>
      </w:r>
    </w:p>
    <w:p w14:paraId="76A6B9AC" w14:textId="77777777" w:rsidR="00190827" w:rsidRPr="004B0E2A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usługi doradcze, koszty ekspertów zewnętrznych, koszty związane z realizacją badań i analiz; </w:t>
      </w:r>
    </w:p>
    <w:p w14:paraId="752DE295" w14:textId="77777777" w:rsidR="00190827" w:rsidRPr="004B0E2A" w:rsidRDefault="00190827" w:rsidP="003C02BB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catering i usługa hotelarska</w:t>
      </w:r>
    </w:p>
    <w:p w14:paraId="7C5A6BEE" w14:textId="77777777" w:rsidR="00190827" w:rsidRPr="004B0E2A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środki trwałe/ dostawy; </w:t>
      </w:r>
    </w:p>
    <w:p w14:paraId="33EB88C4" w14:textId="77777777" w:rsidR="00190827" w:rsidRPr="004B0E2A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lastRenderedPageBreak/>
        <w:t xml:space="preserve">dostawy (inne niż środki trwałe); </w:t>
      </w:r>
    </w:p>
    <w:p w14:paraId="6DEA920E" w14:textId="77777777" w:rsidR="00190827" w:rsidRPr="004B0E2A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koszty wsparcia uczestników projektu w zakresie kosztów podróży i zakwaterowania </w:t>
      </w:r>
    </w:p>
    <w:p w14:paraId="13246388" w14:textId="12A9C123" w:rsidR="00190827" w:rsidRPr="004B0E2A" w:rsidRDefault="00190827" w:rsidP="003C02BB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personel projektu.</w:t>
      </w:r>
    </w:p>
    <w:p w14:paraId="0E2901A5" w14:textId="07E64BAB" w:rsidR="00190827" w:rsidRPr="00652B5A" w:rsidRDefault="00190827" w:rsidP="00652B5A">
      <w:pPr>
        <w:pStyle w:val="Akapitzlist"/>
        <w:numPr>
          <w:ilvl w:val="0"/>
          <w:numId w:val="35"/>
        </w:numPr>
        <w:spacing w:before="120" w:after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652B5A">
        <w:rPr>
          <w:rFonts w:ascii="Open Sans" w:hAnsi="Open Sans" w:cs="Open Sans"/>
          <w:bCs/>
          <w:sz w:val="22"/>
          <w:szCs w:val="22"/>
        </w:rPr>
        <w:t>Kosz</w:t>
      </w:r>
      <w:r w:rsidR="00652B5A">
        <w:rPr>
          <w:rFonts w:ascii="Open Sans" w:hAnsi="Open Sans" w:cs="Open Sans"/>
          <w:bCs/>
          <w:sz w:val="22"/>
          <w:szCs w:val="22"/>
        </w:rPr>
        <w:t xml:space="preserve">ty pośrednie, o których mowa w </w:t>
      </w:r>
      <w:r w:rsidRPr="00652B5A">
        <w:rPr>
          <w:rFonts w:ascii="Open Sans" w:hAnsi="Open Sans" w:cs="Open Sans"/>
          <w:bCs/>
          <w:sz w:val="22"/>
          <w:szCs w:val="22"/>
        </w:rPr>
        <w:t xml:space="preserve">Podrozdziale 3.12. </w:t>
      </w:r>
      <w:hyperlink r:id="rId10" w:history="1">
        <w:r w:rsidRPr="00652B5A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Pr="00652B5A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</w:t>
      </w:r>
      <w:r w:rsidRPr="00613154">
        <w:rPr>
          <w:rFonts w:ascii="Open Sans" w:hAnsi="Open Sans" w:cs="Open Sans"/>
          <w:bCs/>
          <w:sz w:val="22"/>
          <w:szCs w:val="22"/>
        </w:rPr>
        <w:t>załącznik nr </w:t>
      </w:r>
      <w:r w:rsidR="00613154" w:rsidRPr="00613154">
        <w:rPr>
          <w:rFonts w:ascii="Open Sans" w:hAnsi="Open Sans" w:cs="Open Sans"/>
          <w:bCs/>
          <w:sz w:val="22"/>
          <w:szCs w:val="22"/>
        </w:rPr>
        <w:t>6</w:t>
      </w:r>
      <w:r w:rsidRPr="00613154">
        <w:rPr>
          <w:rFonts w:ascii="Open Sans" w:hAnsi="Open Sans" w:cs="Open Sans"/>
          <w:bCs/>
          <w:sz w:val="22"/>
          <w:szCs w:val="22"/>
        </w:rPr>
        <w:t> do Regulaminu</w:t>
      </w:r>
      <w:r w:rsidRPr="00652B5A">
        <w:rPr>
          <w:rFonts w:ascii="Open Sans" w:hAnsi="Open Sans" w:cs="Open Sans"/>
          <w:bCs/>
          <w:sz w:val="22"/>
          <w:szCs w:val="22"/>
        </w:rPr>
        <w:t xml:space="preserve"> naboru Nr</w:t>
      </w:r>
      <w:r w:rsidRPr="00652B5A">
        <w:rPr>
          <w:rFonts w:ascii="Open Sans" w:hAnsi="Open Sans" w:cs="Open Sans"/>
          <w:sz w:val="22"/>
          <w:szCs w:val="22"/>
        </w:rPr>
        <w:t xml:space="preserve"> </w:t>
      </w:r>
      <w:r w:rsidRPr="00652B5A">
        <w:rPr>
          <w:rFonts w:ascii="Open Sans" w:hAnsi="Open Sans" w:cs="Open Sans"/>
          <w:bCs/>
          <w:sz w:val="22"/>
          <w:szCs w:val="22"/>
        </w:rPr>
        <w:t>FENX.01.05-IW.01-0</w:t>
      </w:r>
      <w:r w:rsidR="00652B5A">
        <w:rPr>
          <w:rFonts w:ascii="Open Sans" w:hAnsi="Open Sans" w:cs="Open Sans"/>
          <w:bCs/>
          <w:sz w:val="22"/>
          <w:szCs w:val="22"/>
        </w:rPr>
        <w:t>09</w:t>
      </w:r>
      <w:r w:rsidRPr="00652B5A">
        <w:rPr>
          <w:rFonts w:ascii="Open Sans" w:hAnsi="Open Sans" w:cs="Open Sans"/>
          <w:bCs/>
          <w:sz w:val="22"/>
          <w:szCs w:val="22"/>
        </w:rPr>
        <w:t>/2</w:t>
      </w:r>
      <w:r w:rsidR="00F56102" w:rsidRPr="00652B5A">
        <w:rPr>
          <w:rFonts w:ascii="Open Sans" w:hAnsi="Open Sans" w:cs="Open Sans"/>
          <w:bCs/>
          <w:sz w:val="22"/>
          <w:szCs w:val="22"/>
        </w:rPr>
        <w:t>4</w:t>
      </w:r>
      <w:r w:rsidRPr="00652B5A">
        <w:rPr>
          <w:rFonts w:ascii="Open Sans" w:hAnsi="Open Sans" w:cs="Open Sans"/>
          <w:bCs/>
          <w:sz w:val="22"/>
          <w:szCs w:val="22"/>
        </w:rPr>
        <w:t xml:space="preserve">. </w:t>
      </w:r>
    </w:p>
    <w:p w14:paraId="5630D4AE" w14:textId="77777777" w:rsidR="00190827" w:rsidRPr="004B0E2A" w:rsidRDefault="00190827" w:rsidP="003C02BB">
      <w:pPr>
        <w:spacing w:before="120" w:after="120" w:line="276" w:lineRule="auto"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Niedopuszczalna jest sytuacja, w której koszty pośrednie zostaną rozliczone w ramach kosztów bezpośrednich.</w:t>
      </w:r>
    </w:p>
    <w:p w14:paraId="7422C6D4" w14:textId="77777777" w:rsidR="00190827" w:rsidRPr="004B0E2A" w:rsidRDefault="00190827" w:rsidP="003C02BB">
      <w:pPr>
        <w:pStyle w:val="Default"/>
        <w:numPr>
          <w:ilvl w:val="0"/>
          <w:numId w:val="34"/>
        </w:num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W ramach projektów nie będą kwalifikowalne m.in.:</w:t>
      </w:r>
    </w:p>
    <w:p w14:paraId="30AE4F95" w14:textId="77777777" w:rsidR="00190827" w:rsidRPr="004B0E2A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koszty </w:t>
      </w:r>
      <w:r w:rsidRPr="004B0E2A">
        <w:rPr>
          <w:rFonts w:ascii="Open Sans" w:hAnsi="Open Sans" w:cs="Open Sans"/>
          <w:bCs/>
          <w:sz w:val="22"/>
          <w:szCs w:val="22"/>
        </w:rPr>
        <w:t>dotyczące robót i materiałów budowlanych;</w:t>
      </w:r>
    </w:p>
    <w:p w14:paraId="2A2FE0AB" w14:textId="77777777" w:rsidR="00190827" w:rsidRPr="004B0E2A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bCs/>
          <w:sz w:val="22"/>
          <w:szCs w:val="22"/>
        </w:rPr>
        <w:t>opłaty finansowe;</w:t>
      </w:r>
    </w:p>
    <w:p w14:paraId="09CADC49" w14:textId="1B60787F" w:rsidR="00190827" w:rsidRPr="004B0E2A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bCs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w</w:t>
      </w:r>
      <w:r w:rsidR="00652B5A">
        <w:rPr>
          <w:rFonts w:ascii="Open Sans" w:hAnsi="Open Sans" w:cs="Open Sans"/>
          <w:sz w:val="22"/>
          <w:szCs w:val="22"/>
        </w:rPr>
        <w:t>kład niepieniężny</w:t>
      </w:r>
      <w:r w:rsidRPr="004B0E2A">
        <w:rPr>
          <w:rFonts w:ascii="Open Sans" w:hAnsi="Open Sans" w:cs="Open Sans"/>
          <w:bCs/>
          <w:sz w:val="22"/>
          <w:szCs w:val="22"/>
        </w:rPr>
        <w:t>;</w:t>
      </w:r>
    </w:p>
    <w:p w14:paraId="4671A008" w14:textId="77777777" w:rsidR="00190827" w:rsidRPr="004B0E2A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koszty związane z zakupem nieruchomości;</w:t>
      </w:r>
    </w:p>
    <w:p w14:paraId="10151FA3" w14:textId="77777777" w:rsidR="00190827" w:rsidRPr="004B0E2A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koszty związane z nabyciem prawa użytkowania wieczystego i innych tytułów prawnych do nieruchomości;</w:t>
      </w:r>
    </w:p>
    <w:p w14:paraId="156B63B2" w14:textId="77777777" w:rsidR="00190827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koszty dotyczące nadzoru/ zarządzania inwestycją;</w:t>
      </w:r>
    </w:p>
    <w:p w14:paraId="0E951156" w14:textId="3AD78378" w:rsidR="001E09CB" w:rsidRPr="004B0E2A" w:rsidRDefault="001E09CB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koszty nabycia środków transportu;</w:t>
      </w:r>
    </w:p>
    <w:p w14:paraId="45CE7FD9" w14:textId="77777777" w:rsidR="00190827" w:rsidRPr="004B0E2A" w:rsidRDefault="00190827" w:rsidP="003C02BB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amortyzacja i leasing środków trwałych.</w:t>
      </w:r>
    </w:p>
    <w:p w14:paraId="43FA6D2F" w14:textId="2FEDC55F" w:rsidR="00110E12" w:rsidRPr="00652B5A" w:rsidRDefault="00190827" w:rsidP="00652B5A">
      <w:pPr>
        <w:spacing w:before="120" w:after="120" w:line="360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Dodatkowo, wydatkami niekwalifikowalnymi są wydatki wskazane w art. 64 rozporządzenia ogólnego, art. 7 ust. 1 i 5 rozporządzenia EFRR i FS, oraz </w:t>
      </w:r>
      <w:bookmarkStart w:id="0" w:name="_Hlk143602395"/>
      <w:r w:rsidRPr="004B0E2A">
        <w:rPr>
          <w:rFonts w:ascii="Open Sans" w:hAnsi="Open Sans" w:cs="Open Sans"/>
          <w:sz w:val="22"/>
          <w:szCs w:val="22"/>
        </w:rPr>
        <w:t xml:space="preserve">podrozdziale 2.3. Wydatki niekwalifikowalne </w:t>
      </w:r>
      <w:hyperlink r:id="rId11" w:history="1">
        <w:r w:rsidRPr="004B0E2A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bookmarkEnd w:id="0"/>
      <w:r w:rsidRPr="004B0E2A">
        <w:rPr>
          <w:rFonts w:ascii="Open Sans" w:hAnsi="Open Sans" w:cs="Open Sans"/>
          <w:sz w:val="22"/>
          <w:szCs w:val="22"/>
        </w:rPr>
        <w:t>.</w:t>
      </w:r>
    </w:p>
    <w:sectPr w:rsidR="00110E12" w:rsidRPr="00652B5A" w:rsidSect="00515FB1">
      <w:footerReference w:type="even" r:id="rId12"/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57D7A" w14:textId="77777777" w:rsidR="00C52747" w:rsidRDefault="00C52747">
      <w:r>
        <w:separator/>
      </w:r>
    </w:p>
  </w:endnote>
  <w:endnote w:type="continuationSeparator" w:id="0">
    <w:p w14:paraId="05C61519" w14:textId="77777777" w:rsidR="00C52747" w:rsidRDefault="00C52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85C7" w14:textId="3D60362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47D8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1BDCF" w14:textId="77777777" w:rsidR="00C52747" w:rsidRDefault="00C52747">
      <w:r>
        <w:separator/>
      </w:r>
    </w:p>
  </w:footnote>
  <w:footnote w:type="continuationSeparator" w:id="0">
    <w:p w14:paraId="011F71C0" w14:textId="77777777" w:rsidR="00C52747" w:rsidRDefault="00C52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E425D"/>
    <w:multiLevelType w:val="hybridMultilevel"/>
    <w:tmpl w:val="95E03F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4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414CE"/>
    <w:multiLevelType w:val="hybridMultilevel"/>
    <w:tmpl w:val="C5B67610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E1CA9"/>
    <w:multiLevelType w:val="hybridMultilevel"/>
    <w:tmpl w:val="272299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A472E"/>
    <w:multiLevelType w:val="hybridMultilevel"/>
    <w:tmpl w:val="E8DE2CBE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352F83"/>
    <w:multiLevelType w:val="hybridMultilevel"/>
    <w:tmpl w:val="E7A89D30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7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8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3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82062"/>
    <w:multiLevelType w:val="hybridMultilevel"/>
    <w:tmpl w:val="02829F5A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55587"/>
    <w:multiLevelType w:val="hybridMultilevel"/>
    <w:tmpl w:val="A3A68B8E"/>
    <w:lvl w:ilvl="0" w:tplc="664CE56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16315A"/>
    <w:multiLevelType w:val="hybridMultilevel"/>
    <w:tmpl w:val="C84CBBFC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1" w15:restartNumberingAfterBreak="0">
    <w:nsid w:val="7F315020"/>
    <w:multiLevelType w:val="hybridMultilevel"/>
    <w:tmpl w:val="3FDE9FA0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521358331">
    <w:abstractNumId w:val="18"/>
  </w:num>
  <w:num w:numId="2" w16cid:durableId="496842267">
    <w:abstractNumId w:val="35"/>
  </w:num>
  <w:num w:numId="3" w16cid:durableId="1167019090">
    <w:abstractNumId w:val="6"/>
  </w:num>
  <w:num w:numId="4" w16cid:durableId="1396928042">
    <w:abstractNumId w:val="3"/>
  </w:num>
  <w:num w:numId="5" w16cid:durableId="1829979472">
    <w:abstractNumId w:val="29"/>
  </w:num>
  <w:num w:numId="6" w16cid:durableId="1498417969">
    <w:abstractNumId w:val="28"/>
  </w:num>
  <w:num w:numId="7" w16cid:durableId="2053070654">
    <w:abstractNumId w:val="21"/>
  </w:num>
  <w:num w:numId="8" w16cid:durableId="1888446813">
    <w:abstractNumId w:val="9"/>
  </w:num>
  <w:num w:numId="9" w16cid:durableId="1971546199">
    <w:abstractNumId w:val="22"/>
  </w:num>
  <w:num w:numId="10" w16cid:durableId="1228419072">
    <w:abstractNumId w:val="38"/>
  </w:num>
  <w:num w:numId="11" w16cid:durableId="576937868">
    <w:abstractNumId w:val="20"/>
  </w:num>
  <w:num w:numId="12" w16cid:durableId="1068386600">
    <w:abstractNumId w:val="33"/>
  </w:num>
  <w:num w:numId="13" w16cid:durableId="1691487290">
    <w:abstractNumId w:val="17"/>
  </w:num>
  <w:num w:numId="14" w16cid:durableId="231743209">
    <w:abstractNumId w:val="25"/>
  </w:num>
  <w:num w:numId="15" w16cid:durableId="1043015464">
    <w:abstractNumId w:val="37"/>
  </w:num>
  <w:num w:numId="16" w16cid:durableId="52702112">
    <w:abstractNumId w:val="34"/>
  </w:num>
  <w:num w:numId="17" w16cid:durableId="2042242346">
    <w:abstractNumId w:val="14"/>
  </w:num>
  <w:num w:numId="18" w16cid:durableId="1511330597">
    <w:abstractNumId w:val="16"/>
  </w:num>
  <w:num w:numId="19" w16cid:durableId="1822963300">
    <w:abstractNumId w:val="30"/>
  </w:num>
  <w:num w:numId="20" w16cid:durableId="1693874450">
    <w:abstractNumId w:val="31"/>
  </w:num>
  <w:num w:numId="21" w16cid:durableId="526452029">
    <w:abstractNumId w:val="5"/>
  </w:num>
  <w:num w:numId="22" w16cid:durableId="687023205">
    <w:abstractNumId w:val="4"/>
  </w:num>
  <w:num w:numId="23" w16cid:durableId="1998263926">
    <w:abstractNumId w:val="8"/>
  </w:num>
  <w:num w:numId="24" w16cid:durableId="1681156583">
    <w:abstractNumId w:val="7"/>
  </w:num>
  <w:num w:numId="25" w16cid:durableId="684288262">
    <w:abstractNumId w:val="11"/>
  </w:num>
  <w:num w:numId="26" w16cid:durableId="329187438">
    <w:abstractNumId w:val="26"/>
  </w:num>
  <w:num w:numId="27" w16cid:durableId="1358387630">
    <w:abstractNumId w:val="10"/>
  </w:num>
  <w:num w:numId="28" w16cid:durableId="28454381">
    <w:abstractNumId w:val="32"/>
  </w:num>
  <w:num w:numId="29" w16cid:durableId="1568153203">
    <w:abstractNumId w:val="27"/>
  </w:num>
  <w:num w:numId="30" w16cid:durableId="1166356490">
    <w:abstractNumId w:val="19"/>
  </w:num>
  <w:num w:numId="31" w16cid:durableId="2087148397">
    <w:abstractNumId w:val="0"/>
  </w:num>
  <w:num w:numId="32" w16cid:durableId="1969357465">
    <w:abstractNumId w:val="13"/>
  </w:num>
  <w:num w:numId="33" w16cid:durableId="1405377994">
    <w:abstractNumId w:val="15"/>
  </w:num>
  <w:num w:numId="34" w16cid:durableId="1310598049">
    <w:abstractNumId w:val="24"/>
  </w:num>
  <w:num w:numId="35" w16cid:durableId="1644894392">
    <w:abstractNumId w:val="1"/>
  </w:num>
  <w:num w:numId="36" w16cid:durableId="589238422">
    <w:abstractNumId w:val="41"/>
  </w:num>
  <w:num w:numId="37" w16cid:durableId="61678451">
    <w:abstractNumId w:val="40"/>
  </w:num>
  <w:num w:numId="38" w16cid:durableId="1656564025">
    <w:abstractNumId w:val="36"/>
  </w:num>
  <w:num w:numId="39" w16cid:durableId="1966039129">
    <w:abstractNumId w:val="12"/>
  </w:num>
  <w:num w:numId="40" w16cid:durableId="521165747">
    <w:abstractNumId w:val="23"/>
  </w:num>
  <w:num w:numId="41" w16cid:durableId="2033414239">
    <w:abstractNumId w:val="2"/>
  </w:num>
  <w:num w:numId="42" w16cid:durableId="1876427881">
    <w:abstractNumId w:val="3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D36"/>
    <w:rsid w:val="00002DA9"/>
    <w:rsid w:val="000216E0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93736"/>
    <w:rsid w:val="000A5996"/>
    <w:rsid w:val="000B0C70"/>
    <w:rsid w:val="000C163C"/>
    <w:rsid w:val="000D0528"/>
    <w:rsid w:val="000D0DDE"/>
    <w:rsid w:val="000D7B56"/>
    <w:rsid w:val="000E118C"/>
    <w:rsid w:val="000E6EF7"/>
    <w:rsid w:val="000F2EDA"/>
    <w:rsid w:val="00100409"/>
    <w:rsid w:val="0010496B"/>
    <w:rsid w:val="0011035B"/>
    <w:rsid w:val="00110E12"/>
    <w:rsid w:val="00111BD6"/>
    <w:rsid w:val="00114803"/>
    <w:rsid w:val="00124AE7"/>
    <w:rsid w:val="00124FBD"/>
    <w:rsid w:val="00125078"/>
    <w:rsid w:val="00163C1D"/>
    <w:rsid w:val="001668BF"/>
    <w:rsid w:val="001724FB"/>
    <w:rsid w:val="001726B0"/>
    <w:rsid w:val="001756E8"/>
    <w:rsid w:val="00190827"/>
    <w:rsid w:val="001A164F"/>
    <w:rsid w:val="001D6EC4"/>
    <w:rsid w:val="001E09CB"/>
    <w:rsid w:val="001F1DCB"/>
    <w:rsid w:val="00204174"/>
    <w:rsid w:val="0021751B"/>
    <w:rsid w:val="00221C08"/>
    <w:rsid w:val="002229BB"/>
    <w:rsid w:val="002469D2"/>
    <w:rsid w:val="00252CCB"/>
    <w:rsid w:val="002621E1"/>
    <w:rsid w:val="00263CAE"/>
    <w:rsid w:val="0026656D"/>
    <w:rsid w:val="002735BD"/>
    <w:rsid w:val="00275FCB"/>
    <w:rsid w:val="002764E9"/>
    <w:rsid w:val="002A6ED0"/>
    <w:rsid w:val="002B2B8F"/>
    <w:rsid w:val="002B3E88"/>
    <w:rsid w:val="002B5B4D"/>
    <w:rsid w:val="002C54BE"/>
    <w:rsid w:val="002E233A"/>
    <w:rsid w:val="002F12B7"/>
    <w:rsid w:val="00310052"/>
    <w:rsid w:val="003238A5"/>
    <w:rsid w:val="003248A9"/>
    <w:rsid w:val="00330878"/>
    <w:rsid w:val="0034577C"/>
    <w:rsid w:val="00356DDA"/>
    <w:rsid w:val="00357F5D"/>
    <w:rsid w:val="00361588"/>
    <w:rsid w:val="00375BF8"/>
    <w:rsid w:val="003771FC"/>
    <w:rsid w:val="003A2536"/>
    <w:rsid w:val="003B05B3"/>
    <w:rsid w:val="003B5428"/>
    <w:rsid w:val="003B5F58"/>
    <w:rsid w:val="003C02BB"/>
    <w:rsid w:val="003C2181"/>
    <w:rsid w:val="003D0734"/>
    <w:rsid w:val="003D0CB1"/>
    <w:rsid w:val="003D4654"/>
    <w:rsid w:val="003E70AC"/>
    <w:rsid w:val="003F0256"/>
    <w:rsid w:val="003F05B5"/>
    <w:rsid w:val="003F3F07"/>
    <w:rsid w:val="00404524"/>
    <w:rsid w:val="00420428"/>
    <w:rsid w:val="00420E66"/>
    <w:rsid w:val="00446211"/>
    <w:rsid w:val="004468EF"/>
    <w:rsid w:val="00447A90"/>
    <w:rsid w:val="00451E4C"/>
    <w:rsid w:val="00475128"/>
    <w:rsid w:val="004774B5"/>
    <w:rsid w:val="00477AAA"/>
    <w:rsid w:val="00480C3B"/>
    <w:rsid w:val="00494512"/>
    <w:rsid w:val="004A3A57"/>
    <w:rsid w:val="004A7CBF"/>
    <w:rsid w:val="004B0E2A"/>
    <w:rsid w:val="004B1413"/>
    <w:rsid w:val="004C1069"/>
    <w:rsid w:val="004D0F57"/>
    <w:rsid w:val="004D30E9"/>
    <w:rsid w:val="004E7E66"/>
    <w:rsid w:val="004F0C1C"/>
    <w:rsid w:val="004F21F6"/>
    <w:rsid w:val="004F4386"/>
    <w:rsid w:val="004F68FF"/>
    <w:rsid w:val="00504E7D"/>
    <w:rsid w:val="00514C72"/>
    <w:rsid w:val="00514D52"/>
    <w:rsid w:val="00515FB1"/>
    <w:rsid w:val="0052160E"/>
    <w:rsid w:val="00532485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B4CE6"/>
    <w:rsid w:val="005C4235"/>
    <w:rsid w:val="005C6281"/>
    <w:rsid w:val="005D493E"/>
    <w:rsid w:val="005D60BB"/>
    <w:rsid w:val="005E338E"/>
    <w:rsid w:val="005F38F5"/>
    <w:rsid w:val="005F749F"/>
    <w:rsid w:val="00611D36"/>
    <w:rsid w:val="00613154"/>
    <w:rsid w:val="0061452C"/>
    <w:rsid w:val="00634B36"/>
    <w:rsid w:val="006373C2"/>
    <w:rsid w:val="00640304"/>
    <w:rsid w:val="00646DC4"/>
    <w:rsid w:val="00647D8D"/>
    <w:rsid w:val="00652B5A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B1A7D"/>
    <w:rsid w:val="006B6BCE"/>
    <w:rsid w:val="006D6210"/>
    <w:rsid w:val="006E0B98"/>
    <w:rsid w:val="006F525D"/>
    <w:rsid w:val="006F69A1"/>
    <w:rsid w:val="006F6A5C"/>
    <w:rsid w:val="00704536"/>
    <w:rsid w:val="007642CF"/>
    <w:rsid w:val="00765E08"/>
    <w:rsid w:val="0077016A"/>
    <w:rsid w:val="007708B9"/>
    <w:rsid w:val="007738B4"/>
    <w:rsid w:val="00777666"/>
    <w:rsid w:val="007874E3"/>
    <w:rsid w:val="007969C6"/>
    <w:rsid w:val="007B1DC1"/>
    <w:rsid w:val="007B53F1"/>
    <w:rsid w:val="007D410F"/>
    <w:rsid w:val="007E255C"/>
    <w:rsid w:val="007F786B"/>
    <w:rsid w:val="0080075D"/>
    <w:rsid w:val="00806ABC"/>
    <w:rsid w:val="00825A99"/>
    <w:rsid w:val="008322BF"/>
    <w:rsid w:val="0084705A"/>
    <w:rsid w:val="00847D8E"/>
    <w:rsid w:val="00852DA4"/>
    <w:rsid w:val="008543F1"/>
    <w:rsid w:val="00864ED2"/>
    <w:rsid w:val="00866F5A"/>
    <w:rsid w:val="00870C19"/>
    <w:rsid w:val="00872225"/>
    <w:rsid w:val="00873DB1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C6990"/>
    <w:rsid w:val="009E7456"/>
    <w:rsid w:val="009F46D8"/>
    <w:rsid w:val="009F5D02"/>
    <w:rsid w:val="00A00B21"/>
    <w:rsid w:val="00A01B40"/>
    <w:rsid w:val="00A020BB"/>
    <w:rsid w:val="00A03E87"/>
    <w:rsid w:val="00A10809"/>
    <w:rsid w:val="00A23EEA"/>
    <w:rsid w:val="00A240D5"/>
    <w:rsid w:val="00A2740B"/>
    <w:rsid w:val="00A36F65"/>
    <w:rsid w:val="00A511CE"/>
    <w:rsid w:val="00A627EB"/>
    <w:rsid w:val="00A65664"/>
    <w:rsid w:val="00A66B1B"/>
    <w:rsid w:val="00A66F82"/>
    <w:rsid w:val="00A923A3"/>
    <w:rsid w:val="00AA28F6"/>
    <w:rsid w:val="00AA6B60"/>
    <w:rsid w:val="00AB61A0"/>
    <w:rsid w:val="00AC221D"/>
    <w:rsid w:val="00AD008A"/>
    <w:rsid w:val="00AD2895"/>
    <w:rsid w:val="00AD5AEA"/>
    <w:rsid w:val="00AE1D70"/>
    <w:rsid w:val="00AE579D"/>
    <w:rsid w:val="00AE71C9"/>
    <w:rsid w:val="00B0071C"/>
    <w:rsid w:val="00B02E6B"/>
    <w:rsid w:val="00B053E6"/>
    <w:rsid w:val="00B07B2B"/>
    <w:rsid w:val="00B1262C"/>
    <w:rsid w:val="00B22EFB"/>
    <w:rsid w:val="00B30F08"/>
    <w:rsid w:val="00B46C1C"/>
    <w:rsid w:val="00B50C43"/>
    <w:rsid w:val="00B54438"/>
    <w:rsid w:val="00B76A50"/>
    <w:rsid w:val="00B866ED"/>
    <w:rsid w:val="00B92366"/>
    <w:rsid w:val="00B941B9"/>
    <w:rsid w:val="00BA4EBE"/>
    <w:rsid w:val="00BB3CE2"/>
    <w:rsid w:val="00BB6540"/>
    <w:rsid w:val="00BC6E76"/>
    <w:rsid w:val="00BD2704"/>
    <w:rsid w:val="00BE4EBC"/>
    <w:rsid w:val="00BF05AE"/>
    <w:rsid w:val="00C003DC"/>
    <w:rsid w:val="00C10B4C"/>
    <w:rsid w:val="00C26B28"/>
    <w:rsid w:val="00C310EA"/>
    <w:rsid w:val="00C33F6C"/>
    <w:rsid w:val="00C36094"/>
    <w:rsid w:val="00C468E8"/>
    <w:rsid w:val="00C52747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2188C"/>
    <w:rsid w:val="00D37B3C"/>
    <w:rsid w:val="00D37EEB"/>
    <w:rsid w:val="00D608D3"/>
    <w:rsid w:val="00D74341"/>
    <w:rsid w:val="00D838C9"/>
    <w:rsid w:val="00D87ABB"/>
    <w:rsid w:val="00D908E9"/>
    <w:rsid w:val="00DA0BDF"/>
    <w:rsid w:val="00DA584C"/>
    <w:rsid w:val="00DB0A9F"/>
    <w:rsid w:val="00DC4318"/>
    <w:rsid w:val="00DC5189"/>
    <w:rsid w:val="00DE0D9A"/>
    <w:rsid w:val="00DE229B"/>
    <w:rsid w:val="00DE243E"/>
    <w:rsid w:val="00DF055F"/>
    <w:rsid w:val="00DF7EEB"/>
    <w:rsid w:val="00E02D1A"/>
    <w:rsid w:val="00E02E7F"/>
    <w:rsid w:val="00E133A1"/>
    <w:rsid w:val="00E176D5"/>
    <w:rsid w:val="00E21EE3"/>
    <w:rsid w:val="00E41917"/>
    <w:rsid w:val="00E43DA7"/>
    <w:rsid w:val="00E45E20"/>
    <w:rsid w:val="00E47638"/>
    <w:rsid w:val="00E51D16"/>
    <w:rsid w:val="00E55FC7"/>
    <w:rsid w:val="00E62656"/>
    <w:rsid w:val="00E67FE4"/>
    <w:rsid w:val="00EB183E"/>
    <w:rsid w:val="00ED644E"/>
    <w:rsid w:val="00EF56AB"/>
    <w:rsid w:val="00F036B1"/>
    <w:rsid w:val="00F1544F"/>
    <w:rsid w:val="00F3022F"/>
    <w:rsid w:val="00F311CE"/>
    <w:rsid w:val="00F34AED"/>
    <w:rsid w:val="00F4745C"/>
    <w:rsid w:val="00F56102"/>
    <w:rsid w:val="00F608A0"/>
    <w:rsid w:val="00F64EFE"/>
    <w:rsid w:val="00F704B1"/>
    <w:rsid w:val="00F7347F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E0A49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6C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customStyle="1" w:styleId="Nierozpoznanawzmianka1">
    <w:name w:val="Nierozpoznana wzmianka1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46C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media/112343/Wytyczne_dotyczace_kwalifikowalnosci_2021_2027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E0635-7723-4D95-A3F3-9DCDFFB05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wydatków kwalifikowanych</vt:lpstr>
    </vt:vector>
  </TitlesOfParts>
  <Company>NFOSiGW</Company>
  <LinksUpToDate>false</LinksUpToDate>
  <CharactersWithSpaces>3091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wydatków kwalifikowanych</dc:title>
  <dc:subject/>
  <dc:creator>AJendrulek</dc:creator>
  <cp:keywords/>
  <dc:description/>
  <cp:lastModifiedBy>Zając Ewelina</cp:lastModifiedBy>
  <cp:revision>3</cp:revision>
  <cp:lastPrinted>2013-01-29T13:37:00Z</cp:lastPrinted>
  <dcterms:created xsi:type="dcterms:W3CDTF">2024-04-12T09:00:00Z</dcterms:created>
  <dcterms:modified xsi:type="dcterms:W3CDTF">2024-05-22T13:47:00Z</dcterms:modified>
</cp:coreProperties>
</file>